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BB" w:rsidRPr="00C575BB" w:rsidRDefault="00C575BB" w:rsidP="00C575BB">
      <w:pPr>
        <w:pStyle w:val="aa"/>
        <w:ind w:firstLine="709"/>
        <w:jc w:val="center"/>
        <w:rPr>
          <w:rFonts w:ascii="Times New Roman" w:hAnsi="Times New Roman" w:cs="Times New Roman"/>
          <w:szCs w:val="20"/>
        </w:rPr>
      </w:pPr>
      <w:r w:rsidRPr="00C575BB">
        <w:rPr>
          <w:rFonts w:ascii="Times New Roman" w:hAnsi="Times New Roman" w:cs="Times New Roman"/>
          <w:szCs w:val="20"/>
        </w:rPr>
        <w:t>государственное бюджетное образовательное учреждение Свердловской области</w:t>
      </w:r>
    </w:p>
    <w:p w:rsidR="00C575BB" w:rsidRPr="00C575BB" w:rsidRDefault="00C575BB" w:rsidP="00C575BB">
      <w:pPr>
        <w:pStyle w:val="aa"/>
        <w:ind w:firstLine="709"/>
        <w:jc w:val="center"/>
        <w:rPr>
          <w:rFonts w:ascii="Times New Roman" w:hAnsi="Times New Roman" w:cs="Times New Roman"/>
          <w:szCs w:val="20"/>
        </w:rPr>
      </w:pPr>
      <w:r w:rsidRPr="00C575BB">
        <w:rPr>
          <w:rFonts w:ascii="Times New Roman" w:hAnsi="Times New Roman" w:cs="Times New Roman"/>
          <w:szCs w:val="20"/>
        </w:rPr>
        <w:t>«</w:t>
      </w:r>
      <w:proofErr w:type="spellStart"/>
      <w:r w:rsidRPr="00C575BB">
        <w:rPr>
          <w:rFonts w:ascii="Times New Roman" w:hAnsi="Times New Roman" w:cs="Times New Roman"/>
          <w:szCs w:val="20"/>
        </w:rPr>
        <w:t>Верхнесалдинская</w:t>
      </w:r>
      <w:proofErr w:type="spellEnd"/>
      <w:r w:rsidRPr="00C575BB">
        <w:rPr>
          <w:rFonts w:ascii="Times New Roman" w:hAnsi="Times New Roman" w:cs="Times New Roman"/>
          <w:szCs w:val="20"/>
        </w:rPr>
        <w:t xml:space="preserve"> школа, реализующая </w:t>
      </w:r>
      <w:proofErr w:type="gramStart"/>
      <w:r w:rsidRPr="00C575BB">
        <w:rPr>
          <w:rFonts w:ascii="Times New Roman" w:hAnsi="Times New Roman" w:cs="Times New Roman"/>
          <w:szCs w:val="20"/>
        </w:rPr>
        <w:t>адаптированные</w:t>
      </w:r>
      <w:proofErr w:type="gramEnd"/>
      <w:r w:rsidRPr="00C575BB">
        <w:rPr>
          <w:rFonts w:ascii="Times New Roman" w:hAnsi="Times New Roman" w:cs="Times New Roman"/>
          <w:szCs w:val="20"/>
        </w:rPr>
        <w:t xml:space="preserve"> основные</w:t>
      </w:r>
    </w:p>
    <w:p w:rsidR="00C575BB" w:rsidRPr="00C575BB" w:rsidRDefault="00C575BB" w:rsidP="00C575BB">
      <w:pPr>
        <w:pStyle w:val="aa"/>
        <w:ind w:firstLine="709"/>
        <w:jc w:val="center"/>
        <w:rPr>
          <w:rFonts w:ascii="Times New Roman" w:hAnsi="Times New Roman" w:cs="Times New Roman"/>
          <w:szCs w:val="20"/>
        </w:rPr>
      </w:pPr>
      <w:r w:rsidRPr="00C575BB">
        <w:rPr>
          <w:rFonts w:ascii="Times New Roman" w:hAnsi="Times New Roman" w:cs="Times New Roman"/>
          <w:szCs w:val="20"/>
        </w:rPr>
        <w:t>общеобразовательные программы»</w:t>
      </w:r>
    </w:p>
    <w:p w:rsidR="00C575BB" w:rsidRDefault="00C575BB" w:rsidP="00C575BB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5BB" w:rsidRDefault="00C575BB" w:rsidP="00C575B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УТВЕРЖДАЮ:</w:t>
      </w:r>
    </w:p>
    <w:p w:rsidR="00C575BB" w:rsidRDefault="00C575BB" w:rsidP="00C575B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                И.О. Директора школы    </w:t>
      </w:r>
    </w:p>
    <w:p w:rsidR="00C575BB" w:rsidRDefault="00C575BB" w:rsidP="00C575BB">
      <w:pPr>
        <w:pStyle w:val="a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____________К.С. Шутов                                                        ___________К.С. Шутов                                                        </w:t>
      </w:r>
    </w:p>
    <w:p w:rsidR="00C575BB" w:rsidRDefault="00C575BB" w:rsidP="00C575B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</w:t>
      </w:r>
    </w:p>
    <w:p w:rsidR="00C575BB" w:rsidRDefault="00C575BB" w:rsidP="00C575BB">
      <w:pPr>
        <w:pStyle w:val="a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575BB" w:rsidRDefault="00C575BB" w:rsidP="00C575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5BB" w:rsidRDefault="00C575BB" w:rsidP="00C575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5BB" w:rsidRDefault="00C575BB" w:rsidP="00C575BB">
      <w:pPr>
        <w:pStyle w:val="aa"/>
        <w:spacing w:line="36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C575BB" w:rsidRDefault="00C575BB" w:rsidP="00C575BB">
      <w:pPr>
        <w:pStyle w:val="aa"/>
        <w:spacing w:line="36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Адаптированная образовательная</w:t>
      </w:r>
    </w:p>
    <w:p w:rsidR="00C575BB" w:rsidRDefault="00C575BB" w:rsidP="00C5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75BB" w:rsidRPr="00C575BB" w:rsidRDefault="00C575BB" w:rsidP="00C5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психомоторики сенсорных процессов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75BB" w:rsidRDefault="00C575BB" w:rsidP="00C575BB">
      <w:pPr>
        <w:pStyle w:val="aa"/>
        <w:spacing w:line="36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для   9 б   класса </w:t>
      </w:r>
    </w:p>
    <w:p w:rsidR="00C575BB" w:rsidRDefault="00C575BB" w:rsidP="00C575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Default="00C575BB" w:rsidP="00C575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Default="00C575BB" w:rsidP="00C575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Default="00C575BB" w:rsidP="00C575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Default="00C575BB" w:rsidP="00C575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Pr="00C575BB" w:rsidRDefault="00C575BB" w:rsidP="00C575BB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575BB">
        <w:rPr>
          <w:rFonts w:ascii="Times New Roman" w:hAnsi="Times New Roman" w:cs="Times New Roman"/>
          <w:sz w:val="28"/>
          <w:szCs w:val="24"/>
        </w:rPr>
        <w:t xml:space="preserve">Автор-составитель: </w:t>
      </w:r>
    </w:p>
    <w:p w:rsidR="00C575BB" w:rsidRPr="00C575BB" w:rsidRDefault="00C575BB" w:rsidP="00C575BB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C575B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Алексеева Г.П. учитель. </w:t>
      </w:r>
    </w:p>
    <w:p w:rsidR="00C575BB" w:rsidRPr="00C575BB" w:rsidRDefault="00C575BB" w:rsidP="00C575B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575BB" w:rsidRDefault="00C575BB" w:rsidP="00C575B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Default="00C575BB" w:rsidP="00C575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Pr="00C575BB" w:rsidRDefault="00C575BB" w:rsidP="00C575BB">
      <w:pPr>
        <w:pStyle w:val="aa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75BB">
        <w:rPr>
          <w:rFonts w:ascii="Times New Roman" w:hAnsi="Times New Roman" w:cs="Times New Roman"/>
          <w:sz w:val="24"/>
          <w:szCs w:val="20"/>
        </w:rPr>
        <w:t>Рассмотрено на заседании школьного методического объединения</w:t>
      </w:r>
    </w:p>
    <w:p w:rsidR="00C575BB" w:rsidRPr="00C575BB" w:rsidRDefault="00C575BB" w:rsidP="00C575B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575BB">
        <w:rPr>
          <w:rFonts w:ascii="Times New Roman" w:hAnsi="Times New Roman" w:cs="Times New Roman"/>
          <w:sz w:val="24"/>
          <w:szCs w:val="20"/>
        </w:rPr>
        <w:t>Протокол от «_____»___________________20_____г. №________</w:t>
      </w:r>
    </w:p>
    <w:p w:rsidR="00C575BB" w:rsidRPr="00C575BB" w:rsidRDefault="00C575BB" w:rsidP="00C575BB">
      <w:pPr>
        <w:pStyle w:val="aa"/>
        <w:ind w:firstLine="709"/>
        <w:jc w:val="both"/>
        <w:rPr>
          <w:sz w:val="28"/>
        </w:rPr>
      </w:pPr>
      <w:r w:rsidRPr="00C575BB">
        <w:rPr>
          <w:rFonts w:ascii="Times New Roman" w:hAnsi="Times New Roman" w:cs="Times New Roman"/>
          <w:sz w:val="24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C575BB" w:rsidRPr="00C575BB" w:rsidRDefault="00C575BB" w:rsidP="00C575B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575BB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C575BB" w:rsidRDefault="00C575BB" w:rsidP="00C575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75BB" w:rsidRDefault="00C575BB" w:rsidP="00C575B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Default="00C575BB" w:rsidP="00C575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Default="00C575BB" w:rsidP="00C575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Pr="00C575BB" w:rsidRDefault="00C575BB" w:rsidP="00C575BB">
      <w:pPr>
        <w:pStyle w:val="aa"/>
        <w:spacing w:line="360" w:lineRule="auto"/>
        <w:jc w:val="center"/>
        <w:rPr>
          <w:sz w:val="28"/>
        </w:rPr>
      </w:pPr>
      <w:r w:rsidRPr="00C575BB">
        <w:rPr>
          <w:rFonts w:ascii="Times New Roman" w:hAnsi="Times New Roman" w:cs="Times New Roman"/>
          <w:bCs/>
          <w:sz w:val="24"/>
          <w:szCs w:val="20"/>
        </w:rPr>
        <w:t>2020 -2021  учебный год</w:t>
      </w:r>
    </w:p>
    <w:p w:rsidR="004D207C" w:rsidRDefault="00C5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психомоторики сенсорных процессов</w:t>
      </w:r>
    </w:p>
    <w:p w:rsidR="004D207C" w:rsidRDefault="00C5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D207C" w:rsidRDefault="00C5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 детей с выраженной степенью умственной отсталости определяют весьма ограниченные их возможности в обучении и развитии. Важнейшим методом обучения таких </w:t>
      </w:r>
      <w:r>
        <w:rPr>
          <w:rFonts w:ascii="Times New Roman" w:hAnsi="Times New Roman" w:cs="Times New Roman"/>
          <w:sz w:val="28"/>
          <w:szCs w:val="28"/>
        </w:rPr>
        <w:t>детей, как и любых других школьников, является развитие психомоторики сенсорных процессов. Однако таких детей следует обучать развитие психомоторики сенсорных процессов специально и целенаправленно. Практически не сформированная произвольность поведения, н</w:t>
      </w:r>
      <w:r>
        <w:rPr>
          <w:rFonts w:ascii="Times New Roman" w:hAnsi="Times New Roman" w:cs="Times New Roman"/>
          <w:sz w:val="28"/>
          <w:szCs w:val="28"/>
        </w:rPr>
        <w:t>еустойчивость и низкий уровень концентрации внимания не способствуют усвоению детьми игровых правил, принятию на себя определённой роли. Крайне низкий уровень наблюдательности и отсутствие тенденции к общению и познанию окружающего затрудняют выполнение де</w:t>
      </w:r>
      <w:r>
        <w:rPr>
          <w:rFonts w:ascii="Times New Roman" w:hAnsi="Times New Roman" w:cs="Times New Roman"/>
          <w:sz w:val="28"/>
          <w:szCs w:val="28"/>
        </w:rPr>
        <w:t>тьми образовательных действий во время развития сенсорных процессов.</w:t>
      </w:r>
    </w:p>
    <w:p w:rsidR="004D207C" w:rsidRDefault="00C5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формирования и развития у детей памяти. Произвольности поведенческих реакций. Навыков общения, овладения детьми способов усвоения общественного опыта, заключение действия, зас</w:t>
      </w:r>
      <w:r>
        <w:rPr>
          <w:rFonts w:ascii="Times New Roman" w:hAnsi="Times New Roman" w:cs="Times New Roman"/>
          <w:sz w:val="28"/>
          <w:szCs w:val="28"/>
        </w:rPr>
        <w:t xml:space="preserve">тавляют педагогов уделять данному разделу специальное внимание. Исходя из указанных соображений,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организовать обучение детей, из расчёта 1 час учебного времени в неделю, 34 часа в год. В рабочую программу вошли как упражнения на развитие вн</w:t>
      </w:r>
      <w:r>
        <w:rPr>
          <w:rFonts w:ascii="Times New Roman" w:hAnsi="Times New Roman" w:cs="Times New Roman"/>
          <w:sz w:val="28"/>
          <w:szCs w:val="28"/>
        </w:rPr>
        <w:t>имания памяти, восприятия и мыслительных операций, игрового замещения, так и на развитие произвольности, самоконтроля, коммуникативных возможностей. Используются как дидактические, настольные, так и сюжетно-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игры с правилами.</w:t>
      </w:r>
    </w:p>
    <w:p w:rsidR="004D207C" w:rsidRDefault="00C5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</w:t>
      </w:r>
      <w:r>
        <w:rPr>
          <w:rFonts w:ascii="Times New Roman" w:hAnsi="Times New Roman" w:cs="Times New Roman"/>
          <w:sz w:val="28"/>
          <w:szCs w:val="28"/>
        </w:rPr>
        <w:t>ланирование разработано на основе принципа объединения игровых заданий не только по формируемым умениям, но и на основании тематической группировки по основным логическим группам, знакомство с которыми ведётся на всех других уроках.</w:t>
      </w:r>
    </w:p>
    <w:p w:rsidR="004D207C" w:rsidRDefault="00C575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</w:t>
      </w:r>
      <w:r>
        <w:rPr>
          <w:rFonts w:ascii="Times New Roman" w:hAnsi="Times New Roman" w:cs="Times New Roman"/>
          <w:b/>
          <w:sz w:val="28"/>
          <w:szCs w:val="28"/>
        </w:rPr>
        <w:t>ты обучения</w:t>
      </w:r>
    </w:p>
    <w:p w:rsidR="004D207C" w:rsidRDefault="00C575B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детей сформированных игровых действий с предметом по подражанию и образцу</w:t>
      </w:r>
    </w:p>
    <w:p w:rsidR="004D207C" w:rsidRDefault="00C575B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детьми названий используемых материалов словесного обозначения выполняемых действий</w:t>
      </w:r>
    </w:p>
    <w:p w:rsidR="004D207C" w:rsidRDefault="00C575B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адекватных эмоциональных реакций на выполняемые действия</w:t>
      </w:r>
    </w:p>
    <w:p w:rsidR="004D207C" w:rsidRDefault="004D207C">
      <w:pPr>
        <w:pStyle w:val="a8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Default="00C575BB">
      <w:pPr>
        <w:pStyle w:val="a8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D207C" w:rsidRDefault="00C575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4417"/>
      </w:tblGrid>
      <w:tr w:rsidR="004D207C" w:rsidTr="00C575BB">
        <w:tc>
          <w:tcPr>
            <w:tcW w:w="675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575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5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75B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575B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4417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</w:p>
        </w:tc>
      </w:tr>
      <w:tr w:rsidR="004D207C" w:rsidTr="00C575BB">
        <w:tc>
          <w:tcPr>
            <w:tcW w:w="675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Цвет предмета</w:t>
            </w:r>
          </w:p>
        </w:tc>
        <w:tc>
          <w:tcPr>
            <w:tcW w:w="992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цвета, закреплять обобщающие слова, игрушки, цвет предмета</w:t>
            </w:r>
          </w:p>
        </w:tc>
      </w:tr>
      <w:tr w:rsidR="004D207C" w:rsidTr="00C575BB">
        <w:tc>
          <w:tcPr>
            <w:tcW w:w="675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Математические понятия много, мало, больше, меньше</w:t>
            </w:r>
          </w:p>
        </w:tc>
        <w:tc>
          <w:tcPr>
            <w:tcW w:w="992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большой,</w:t>
            </w: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маленький. Закреплять цвета предметов</w:t>
            </w:r>
          </w:p>
        </w:tc>
      </w:tr>
      <w:tr w:rsidR="004D207C" w:rsidTr="00C575BB">
        <w:tc>
          <w:tcPr>
            <w:tcW w:w="675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Разноцветные игрушки</w:t>
            </w:r>
          </w:p>
        </w:tc>
        <w:tc>
          <w:tcPr>
            <w:tcW w:w="992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Формировать математические понятия больше, меньше, закреплять названия цветов</w:t>
            </w:r>
          </w:p>
        </w:tc>
      </w:tr>
      <w:tr w:rsidR="004D207C" w:rsidTr="00C575BB">
        <w:tc>
          <w:tcPr>
            <w:tcW w:w="675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«Транспорт. Дорога»</w:t>
            </w:r>
          </w:p>
        </w:tc>
        <w:tc>
          <w:tcPr>
            <w:tcW w:w="992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Учить называть правильно виды транспорта, отличать дорогу от тротуара</w:t>
            </w:r>
          </w:p>
        </w:tc>
      </w:tr>
      <w:tr w:rsidR="004D207C" w:rsidTr="00C575BB">
        <w:tc>
          <w:tcPr>
            <w:tcW w:w="675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</w:t>
            </w:r>
          </w:p>
        </w:tc>
        <w:tc>
          <w:tcPr>
            <w:tcW w:w="992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Запоминать правила, понимать указания взрослого и движения в соответствии с текстом</w:t>
            </w:r>
          </w:p>
        </w:tc>
      </w:tr>
      <w:tr w:rsidR="004D207C" w:rsidTr="00C575BB">
        <w:tc>
          <w:tcPr>
            <w:tcW w:w="675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«Паровозик»</w:t>
            </w:r>
          </w:p>
        </w:tc>
        <w:tc>
          <w:tcPr>
            <w:tcW w:w="992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Учить ходить друг  за другом в нужном направлении</w:t>
            </w:r>
          </w:p>
        </w:tc>
      </w:tr>
      <w:tr w:rsidR="004D207C" w:rsidTr="00C575BB">
        <w:tc>
          <w:tcPr>
            <w:tcW w:w="675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«Кто позвал?»</w:t>
            </w:r>
          </w:p>
        </w:tc>
        <w:tc>
          <w:tcPr>
            <w:tcW w:w="992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Закреплять знания имен участников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«Поймай рыбку»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Учить развивать мимику, пантомиму по  образу взрослых. Понимать и выполнять действия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«Какого цвета не стало?»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основных цветов. Развитие памяти и восприятия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«Что лишнее?»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</w:t>
            </w: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ы по признаку (форма, цвет, размер, овощи, обувь)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Незнайкины</w:t>
            </w:r>
            <w:proofErr w:type="spellEnd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 небылицы»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знания о временах года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Загадки-разгадки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речь, воображение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Лесная сказка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</w:t>
            </w: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 в школе, развивать мышление, воображение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Злые-добрые</w:t>
            </w:r>
            <w:proofErr w:type="gramEnd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 кошки»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подражать голосу животных, снимать агрессивное состояние  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«Иголочка-ниточка»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Развивать умение бегать друг за другом в одном направлении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Пчёлкины песни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Подражать насекомым развивать</w:t>
            </w:r>
            <w:proofErr w:type="gramEnd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произносить звук (Ж), выполнять движения по сигналу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Словесная игра «Летает-не летает»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выполнять правильные действия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Учить снимать агрессивное настроение, выполнять действия по</w:t>
            </w: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Игра «Где мы были, мы не скажем, а что </w:t>
            </w:r>
            <w:proofErr w:type="gramStart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 покажем»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Развивать умение мимики, пантомимы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«Чьи детки?»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Учить называть животных во множественном числе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«Чьи детки?»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Учить называть диких животных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Узнай животных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по контуру животных, </w:t>
            </w:r>
            <w:r w:rsidRPr="00C5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мышление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Угадай животное по описанию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Развивать знания об окружающих, внимание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Загадки о животных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Расширять, закреплять знания о животных, подражать их голосам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«Нарисуй по точкам»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мелкой моторики пальцев рук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воображение. Воспитывать аккуратность и чистоплотность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на улице «Водители и пешеходы»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Отрабатывать безопасные действия по сигналам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Игра  «Мы пассажиры»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безопасные </w:t>
            </w: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proofErr w:type="gramStart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Курочка-ряба</w:t>
            </w:r>
            <w:proofErr w:type="gramEnd"/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Pr="00C575BB" w:rsidRDefault="00C5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B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действия и подражать голосам и мимике персонажей сказок</w:t>
            </w:r>
          </w:p>
        </w:tc>
      </w:tr>
      <w:tr w:rsidR="004D207C" w:rsidTr="00C575BB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D207C" w:rsidRDefault="004D2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D207C" w:rsidRDefault="004D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D207C" w:rsidRDefault="004D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nil"/>
            </w:tcBorders>
            <w:shd w:val="clear" w:color="auto" w:fill="auto"/>
          </w:tcPr>
          <w:p w:rsidR="004D207C" w:rsidRDefault="004D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07C" w:rsidRDefault="004D20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207C" w:rsidRDefault="00C575B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4D207C" w:rsidRDefault="00C57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программы специальных (коррекционных) образовательных учреждений 8 вида под ред. И.М. </w:t>
      </w:r>
      <w:proofErr w:type="spellStart"/>
      <w:r>
        <w:rPr>
          <w:rFonts w:ascii="Times New Roman" w:hAnsi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«Просвещение», 2017</w:t>
      </w:r>
    </w:p>
    <w:p w:rsidR="004D207C" w:rsidRDefault="00C57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Обучение детей с выраженным недоразвитием интеллекта. Программно-методические материалы, под ред.  И.М. </w:t>
      </w:r>
      <w:proofErr w:type="spellStart"/>
      <w:r>
        <w:rPr>
          <w:rFonts w:ascii="Times New Roman" w:hAnsi="Times New Roman"/>
          <w:sz w:val="28"/>
          <w:szCs w:val="28"/>
        </w:rPr>
        <w:t>Бгажноковой</w:t>
      </w:r>
      <w:proofErr w:type="spellEnd"/>
    </w:p>
    <w:p w:rsidR="004D207C" w:rsidRDefault="00C57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восприятия у детей. Форма, цвет, звук. Ярославль. «Академия развития», 1998</w:t>
      </w:r>
    </w:p>
    <w:p w:rsidR="004D207C" w:rsidRDefault="00C57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Угадай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нас зовут: игры</w:t>
      </w:r>
      <w:r>
        <w:rPr>
          <w:rFonts w:ascii="Times New Roman" w:hAnsi="Times New Roman"/>
          <w:sz w:val="28"/>
          <w:szCs w:val="28"/>
        </w:rPr>
        <w:t xml:space="preserve"> и упражнения по развитию умственных способностей у детей дошкольного возраста. Л.А. </w:t>
      </w:r>
      <w:proofErr w:type="spellStart"/>
      <w:r>
        <w:rPr>
          <w:rFonts w:ascii="Times New Roman" w:hAnsi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/>
          <w:sz w:val="28"/>
          <w:szCs w:val="28"/>
        </w:rPr>
        <w:t>, О.М. Дьяченко, Р.И. Бардина. М., «Просвещение», 1993</w:t>
      </w:r>
    </w:p>
    <w:sectPr w:rsidR="004D207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907"/>
    <w:multiLevelType w:val="multilevel"/>
    <w:tmpl w:val="60202AE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7960272D"/>
    <w:multiLevelType w:val="multilevel"/>
    <w:tmpl w:val="67080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7C"/>
    <w:rsid w:val="004D207C"/>
    <w:rsid w:val="00C5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CF38FA"/>
    <w:pPr>
      <w:ind w:left="720"/>
      <w:contextualSpacing/>
    </w:pPr>
  </w:style>
  <w:style w:type="table" w:styleId="a9">
    <w:name w:val="Table Grid"/>
    <w:basedOn w:val="a1"/>
    <w:uiPriority w:val="39"/>
    <w:rsid w:val="00CF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575BB"/>
    <w:pPr>
      <w:suppressAutoHyphens/>
    </w:pPr>
    <w:rPr>
      <w:rFonts w:eastAsia="Times New Roman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CF38FA"/>
    <w:pPr>
      <w:ind w:left="720"/>
      <w:contextualSpacing/>
    </w:pPr>
  </w:style>
  <w:style w:type="table" w:styleId="a9">
    <w:name w:val="Table Grid"/>
    <w:basedOn w:val="a1"/>
    <w:uiPriority w:val="39"/>
    <w:rsid w:val="00CF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575BB"/>
    <w:pPr>
      <w:suppressAutoHyphens/>
    </w:pPr>
    <w:rPr>
      <w:rFonts w:eastAsia="Times New Roman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</dc:creator>
  <dc:description/>
  <cp:lastModifiedBy>ПК</cp:lastModifiedBy>
  <cp:revision>5</cp:revision>
  <cp:lastPrinted>2020-10-06T09:55:00Z</cp:lastPrinted>
  <dcterms:created xsi:type="dcterms:W3CDTF">2020-09-08T03:30:00Z</dcterms:created>
  <dcterms:modified xsi:type="dcterms:W3CDTF">2020-10-06T09:55:00Z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